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6" w:type="dxa"/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1705"/>
        <w:gridCol w:w="8071"/>
      </w:tblGrid>
      <w:tr w:rsidR="00C0416C" w:rsidRPr="005E0C7D" w14:paraId="44D9E826" w14:textId="32551A06" w:rsidTr="0049244F">
        <w:trPr>
          <w:trHeight w:val="350"/>
        </w:trPr>
        <w:tc>
          <w:tcPr>
            <w:tcW w:w="1705" w:type="dxa"/>
            <w:shd w:val="pct12" w:color="auto" w:fill="auto"/>
          </w:tcPr>
          <w:p w14:paraId="398EEC07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8071" w:type="dxa"/>
            <w:shd w:val="pct12" w:color="auto" w:fill="auto"/>
          </w:tcPr>
          <w:p w14:paraId="3B018862" w14:textId="088917B4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Wymagane </w:t>
            </w:r>
            <w:r w:rsidR="00D15C8B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minimalne </w:t>
            </w:r>
            <w:r w:rsidRPr="005E0C7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parametry techniczne</w:t>
            </w:r>
            <w:r w:rsidR="0049244F" w:rsidRPr="005E0C7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 xml:space="preserve"> Laptop</w:t>
            </w:r>
          </w:p>
        </w:tc>
      </w:tr>
      <w:tr w:rsidR="00C0416C" w:rsidRPr="005E0C7D" w14:paraId="263B61BE" w14:textId="3553E0BC" w:rsidTr="0049244F">
        <w:tc>
          <w:tcPr>
            <w:tcW w:w="1705" w:type="dxa"/>
            <w:shd w:val="pct12" w:color="auto" w:fill="auto"/>
          </w:tcPr>
          <w:p w14:paraId="76ABDDC2" w14:textId="77777777" w:rsidR="00C0416C" w:rsidRPr="005E0C7D" w:rsidRDefault="00C0416C" w:rsidP="00753561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8071" w:type="dxa"/>
            <w:shd w:val="pct12" w:color="auto" w:fill="auto"/>
          </w:tcPr>
          <w:p w14:paraId="3A674128" w14:textId="17126A53" w:rsidR="00C0416C" w:rsidRPr="005E0C7D" w:rsidRDefault="00C0416C" w:rsidP="00E41B66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Komputer mobilny będzie wykorzystywany dla potrzeb aplikacji biurowych, edukacyjnych, obliczeniowych, dostępu do Internetu oraz poczty elektronicznej.</w:t>
            </w:r>
          </w:p>
        </w:tc>
      </w:tr>
      <w:tr w:rsidR="00C0416C" w:rsidRPr="005E0C7D" w14:paraId="6E1D060D" w14:textId="7AAAE34C" w:rsidTr="0049244F">
        <w:trPr>
          <w:trHeight w:val="413"/>
        </w:trPr>
        <w:tc>
          <w:tcPr>
            <w:tcW w:w="1705" w:type="dxa"/>
            <w:shd w:val="pct12" w:color="auto" w:fill="auto"/>
          </w:tcPr>
          <w:p w14:paraId="4F217111" w14:textId="0AC02AEC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Matryca</w:t>
            </w:r>
          </w:p>
        </w:tc>
        <w:tc>
          <w:tcPr>
            <w:tcW w:w="8071" w:type="dxa"/>
            <w:shd w:val="pct12" w:color="auto" w:fill="auto"/>
          </w:tcPr>
          <w:p w14:paraId="3982E878" w14:textId="7D3D6C60" w:rsidR="00C0416C" w:rsidRPr="005E0C7D" w:rsidRDefault="0049244F" w:rsidP="00C0416C">
            <w:pPr>
              <w:jc w:val="both"/>
              <w:outlineLvl w:val="0"/>
              <w:rPr>
                <w:rFonts w:ascii="Calibri" w:hAnsi="Calibri" w:cs="Calibri"/>
                <w:color w:val="00B05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Minimum </w:t>
            </w:r>
            <w:r w:rsidR="00C0416C" w:rsidRPr="005E0C7D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5,6</w:t>
            </w:r>
            <w:r w:rsidR="00C0416C"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” FHD+ (1920 x 1200), matryca IPS, powłoka przeciwodblaskowa, </w:t>
            </w:r>
          </w:p>
        </w:tc>
      </w:tr>
      <w:tr w:rsidR="00C0416C" w:rsidRPr="005E0C7D" w14:paraId="6694EBE9" w14:textId="7ABF8791" w:rsidTr="0049244F">
        <w:tc>
          <w:tcPr>
            <w:tcW w:w="1705" w:type="dxa"/>
            <w:shd w:val="pct12" w:color="auto" w:fill="auto"/>
          </w:tcPr>
          <w:p w14:paraId="30B85E9F" w14:textId="458CADAC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8071" w:type="dxa"/>
            <w:shd w:val="pct12" w:color="auto" w:fill="auto"/>
          </w:tcPr>
          <w:p w14:paraId="2C12C178" w14:textId="4EEBCDBB" w:rsidR="00C0416C" w:rsidRPr="005E0C7D" w:rsidRDefault="00C0416C" w:rsidP="00C0416C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Procesor musi osiągać w teście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PassMark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Performance Test,  co najmniej 16 200 punktów w kategorii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Average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CPU Mark. Wynik opublikowany na stronie: </w:t>
            </w:r>
            <w:hyperlink r:id="rId11" w:history="1">
              <w:r w:rsidRPr="005E0C7D">
                <w:rPr>
                  <w:rStyle w:val="Hipercze"/>
                  <w:rFonts w:ascii="Calibri" w:hAnsi="Calibri" w:cs="Calibri"/>
                  <w:sz w:val="20"/>
                  <w:szCs w:val="20"/>
                  <w:lang w:val="pl-PL"/>
                </w:rPr>
                <w:t>https://www.cpubenchmark.net/cpu_list.php</w:t>
              </w:r>
            </w:hyperlink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>w okresie pomiędzy opublikowaniem postępowania, a dniem składania ofert.</w:t>
            </w:r>
          </w:p>
        </w:tc>
      </w:tr>
      <w:tr w:rsidR="00C0416C" w:rsidRPr="005E0C7D" w14:paraId="1B0A6E48" w14:textId="279D26EF" w:rsidTr="0049244F">
        <w:tc>
          <w:tcPr>
            <w:tcW w:w="1705" w:type="dxa"/>
            <w:shd w:val="pct12" w:color="auto" w:fill="auto"/>
          </w:tcPr>
          <w:p w14:paraId="7A2B493F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8071" w:type="dxa"/>
            <w:shd w:val="pct12" w:color="auto" w:fill="auto"/>
          </w:tcPr>
          <w:p w14:paraId="69A5DC89" w14:textId="65AABC4C" w:rsidR="00C0416C" w:rsidRPr="005E0C7D" w:rsidRDefault="0049244F" w:rsidP="00D15FEE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Minimum </w:t>
            </w:r>
            <w:r w:rsidR="00C0416C" w:rsidRPr="005E0C7D">
              <w:rPr>
                <w:rFonts w:ascii="Calibri" w:hAnsi="Calibri" w:cs="Calibri"/>
                <w:sz w:val="20"/>
                <w:szCs w:val="20"/>
                <w:lang w:val="pl-PL"/>
              </w:rPr>
              <w:t>16GB DDR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4</w:t>
            </w:r>
          </w:p>
        </w:tc>
      </w:tr>
      <w:tr w:rsidR="00C0416C" w:rsidRPr="005E0C7D" w14:paraId="0F5F9B66" w14:textId="2C7E5A95" w:rsidTr="0049244F">
        <w:tc>
          <w:tcPr>
            <w:tcW w:w="1705" w:type="dxa"/>
            <w:shd w:val="pct12" w:color="auto" w:fill="auto"/>
          </w:tcPr>
          <w:p w14:paraId="7A3572F4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Pamięć masowa</w:t>
            </w:r>
          </w:p>
        </w:tc>
        <w:tc>
          <w:tcPr>
            <w:tcW w:w="8071" w:type="dxa"/>
            <w:shd w:val="pct12" w:color="auto" w:fill="auto"/>
          </w:tcPr>
          <w:p w14:paraId="44691BE3" w14:textId="5364906B" w:rsidR="00C0416C" w:rsidRPr="005E0C7D" w:rsidRDefault="00C0416C" w:rsidP="00D15FEE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512</w:t>
            </w:r>
            <w:r w:rsidR="0049244F"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GB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C0416C" w:rsidRPr="005E0C7D" w14:paraId="1CC21C31" w14:textId="08CD52A1" w:rsidTr="0049244F">
        <w:tc>
          <w:tcPr>
            <w:tcW w:w="1705" w:type="dxa"/>
            <w:shd w:val="pct12" w:color="auto" w:fill="auto"/>
          </w:tcPr>
          <w:p w14:paraId="61D959EA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8071" w:type="dxa"/>
            <w:shd w:val="pct12" w:color="auto" w:fill="auto"/>
          </w:tcPr>
          <w:p w14:paraId="4D7BADA9" w14:textId="0A486582" w:rsidR="00C0416C" w:rsidRPr="005E0C7D" w:rsidRDefault="00C0416C" w:rsidP="00D15FEE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Zintegrowana karta graficzna. </w:t>
            </w:r>
          </w:p>
        </w:tc>
      </w:tr>
      <w:tr w:rsidR="00C0416C" w:rsidRPr="005E0C7D" w14:paraId="34A2062F" w14:textId="1C02BA23" w:rsidTr="0049244F">
        <w:tc>
          <w:tcPr>
            <w:tcW w:w="1705" w:type="dxa"/>
            <w:shd w:val="pct12" w:color="auto" w:fill="auto"/>
          </w:tcPr>
          <w:p w14:paraId="5DC03793" w14:textId="654353D4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Klawiatura i urządzenie wskazujące</w:t>
            </w:r>
          </w:p>
        </w:tc>
        <w:tc>
          <w:tcPr>
            <w:tcW w:w="8071" w:type="dxa"/>
            <w:shd w:val="pct12" w:color="auto" w:fill="auto"/>
          </w:tcPr>
          <w:p w14:paraId="3220EFF3" w14:textId="026B066C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Klawiatura z wbudowanym podświetleniem w układzie US – QWERTY z wydzieloną klawiaturą numeryczną po prawej stronie</w:t>
            </w:r>
          </w:p>
        </w:tc>
      </w:tr>
      <w:tr w:rsidR="00C0416C" w:rsidRPr="005E0C7D" w14:paraId="44B40745" w14:textId="6487A01D" w:rsidTr="0049244F">
        <w:tc>
          <w:tcPr>
            <w:tcW w:w="1705" w:type="dxa"/>
            <w:shd w:val="pct12" w:color="auto" w:fill="auto"/>
          </w:tcPr>
          <w:p w14:paraId="46D408CC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8071" w:type="dxa"/>
            <w:shd w:val="pct12" w:color="auto" w:fill="auto"/>
          </w:tcPr>
          <w:p w14:paraId="4F625E23" w14:textId="5442210D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color w:val="FF000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Wbudowane dwa głośniki </w:t>
            </w:r>
            <w:r w:rsidR="0049244F"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stereo</w:t>
            </w: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. </w:t>
            </w:r>
          </w:p>
          <w:p w14:paraId="0BC2515D" w14:textId="3C72296D" w:rsidR="00C0416C" w:rsidRPr="005E0C7D" w:rsidRDefault="00C0416C" w:rsidP="00D15FEE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Dwa kierunkowe, cyfrowe mikrofony z funkcją redukcji szumów i poprawy mowy.</w:t>
            </w:r>
          </w:p>
          <w:p w14:paraId="0A8252ED" w14:textId="6507F049" w:rsidR="00C0416C" w:rsidRPr="005E0C7D" w:rsidRDefault="00C0416C" w:rsidP="00D15FEE">
            <w:pPr>
              <w:jc w:val="both"/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Kamera internetowa działająca w rozdzielczości FHD, trwale zainstalowana w obudowie matrycy opatrzona we wbudowaną mechaniczną przysłonę.</w:t>
            </w:r>
            <w:r w:rsidRPr="005E0C7D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C0416C" w:rsidRPr="005E0C7D" w14:paraId="0C6F3B10" w14:textId="70DB3695" w:rsidTr="0049244F">
        <w:tc>
          <w:tcPr>
            <w:tcW w:w="1705" w:type="dxa"/>
            <w:shd w:val="pct12" w:color="auto" w:fill="auto"/>
          </w:tcPr>
          <w:p w14:paraId="4987AC3F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Łączność bezprzewodowa</w:t>
            </w:r>
          </w:p>
        </w:tc>
        <w:tc>
          <w:tcPr>
            <w:tcW w:w="8071" w:type="dxa"/>
            <w:shd w:val="pct12" w:color="auto" w:fill="auto"/>
          </w:tcPr>
          <w:p w14:paraId="79BCEAE1" w14:textId="2D61BED2" w:rsidR="00C0416C" w:rsidRPr="005E0C7D" w:rsidRDefault="0049244F" w:rsidP="00D15FEE">
            <w:pPr>
              <w:pStyle w:val="Default"/>
              <w:rPr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5E0C7D">
              <w:rPr>
                <w:bCs/>
                <w:color w:val="auto"/>
                <w:sz w:val="20"/>
                <w:szCs w:val="20"/>
                <w:lang w:val="pl-PL"/>
              </w:rPr>
              <w:t>WiFi</w:t>
            </w:r>
            <w:proofErr w:type="spellEnd"/>
            <w:r w:rsidRPr="005E0C7D">
              <w:rPr>
                <w:bCs/>
                <w:color w:val="auto"/>
                <w:sz w:val="20"/>
                <w:szCs w:val="20"/>
                <w:lang w:val="pl-PL"/>
              </w:rPr>
              <w:t xml:space="preserve"> 802.11 </w:t>
            </w:r>
            <w:proofErr w:type="spellStart"/>
            <w:r w:rsidRPr="005E0C7D">
              <w:rPr>
                <w:bCs/>
                <w:color w:val="auto"/>
                <w:sz w:val="20"/>
                <w:szCs w:val="20"/>
                <w:lang w:val="pl-PL"/>
              </w:rPr>
              <w:t>ax</w:t>
            </w:r>
            <w:proofErr w:type="spellEnd"/>
            <w:r w:rsidRPr="005E0C7D">
              <w:rPr>
                <w:bCs/>
                <w:color w:val="auto"/>
                <w:sz w:val="20"/>
                <w:szCs w:val="20"/>
                <w:lang w:val="pl-PL"/>
              </w:rPr>
              <w:t xml:space="preserve">, </w:t>
            </w:r>
            <w:r w:rsidR="00C0416C" w:rsidRPr="005E0C7D">
              <w:rPr>
                <w:bCs/>
                <w:color w:val="auto"/>
                <w:sz w:val="20"/>
                <w:szCs w:val="20"/>
                <w:lang w:val="pl-PL"/>
              </w:rPr>
              <w:t xml:space="preserve">Bluetooth </w:t>
            </w:r>
          </w:p>
          <w:p w14:paraId="5F8BACC0" w14:textId="17D2C353" w:rsidR="00C0416C" w:rsidRPr="005E0C7D" w:rsidRDefault="00C0416C" w:rsidP="00831906">
            <w:pPr>
              <w:pStyle w:val="Default"/>
              <w:rPr>
                <w:b/>
                <w:color w:val="00B050"/>
                <w:sz w:val="20"/>
                <w:szCs w:val="20"/>
                <w:lang w:val="pl-PL"/>
              </w:rPr>
            </w:pPr>
          </w:p>
        </w:tc>
      </w:tr>
      <w:tr w:rsidR="00C0416C" w:rsidRPr="005E0C7D" w14:paraId="2598B793" w14:textId="7134A647" w:rsidTr="0049244F">
        <w:trPr>
          <w:trHeight w:val="437"/>
        </w:trPr>
        <w:tc>
          <w:tcPr>
            <w:tcW w:w="1705" w:type="dxa"/>
            <w:shd w:val="pct12" w:color="auto" w:fill="auto"/>
          </w:tcPr>
          <w:p w14:paraId="22398B36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8071" w:type="dxa"/>
            <w:shd w:val="pct12" w:color="auto" w:fill="auto"/>
          </w:tcPr>
          <w:p w14:paraId="33ECFC52" w14:textId="42006C57" w:rsidR="00C0416C" w:rsidRPr="005E0C7D" w:rsidRDefault="00C0416C" w:rsidP="0049244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Bateria o pojemności min. </w:t>
            </w:r>
            <w:r w:rsidR="0049244F"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40</w:t>
            </w: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WH. </w:t>
            </w:r>
          </w:p>
        </w:tc>
      </w:tr>
      <w:tr w:rsidR="00C0416C" w:rsidRPr="005E0C7D" w14:paraId="4594061C" w14:textId="0DC04DE8" w:rsidTr="0049244F">
        <w:tc>
          <w:tcPr>
            <w:tcW w:w="1705" w:type="dxa"/>
            <w:shd w:val="pct12" w:color="auto" w:fill="auto"/>
          </w:tcPr>
          <w:p w14:paraId="6EC73773" w14:textId="266D8FA0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 xml:space="preserve">Waga </w:t>
            </w:r>
          </w:p>
        </w:tc>
        <w:tc>
          <w:tcPr>
            <w:tcW w:w="8071" w:type="dxa"/>
            <w:shd w:val="pct12" w:color="auto" w:fill="auto"/>
          </w:tcPr>
          <w:p w14:paraId="593E496F" w14:textId="0A941D42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Katalogowa waga startowa nie większa niż 1.95kg wg. oficjalnej dokumentacji producenta.</w:t>
            </w:r>
          </w:p>
        </w:tc>
      </w:tr>
      <w:tr w:rsidR="00C0416C" w:rsidRPr="005E0C7D" w14:paraId="0626AA32" w14:textId="3CEACB0A" w:rsidTr="0049244F">
        <w:tc>
          <w:tcPr>
            <w:tcW w:w="1705" w:type="dxa"/>
            <w:shd w:val="pct12" w:color="auto" w:fill="auto"/>
          </w:tcPr>
          <w:p w14:paraId="5ABB3165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8071" w:type="dxa"/>
            <w:shd w:val="pct12" w:color="auto" w:fill="auto"/>
          </w:tcPr>
          <w:p w14:paraId="5A62C5A2" w14:textId="02B7DB6C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Kąt otwarcia notebooka min 180 stopni. </w:t>
            </w:r>
          </w:p>
          <w:p w14:paraId="2805EB75" w14:textId="23AF99AE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color w:val="00B05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Komputer spełniający normy MIL-STD-810H.. </w:t>
            </w:r>
          </w:p>
        </w:tc>
      </w:tr>
      <w:tr w:rsidR="00C0416C" w:rsidRPr="005E0C7D" w14:paraId="549E9A85" w14:textId="14BF8E2B" w:rsidTr="0049244F">
        <w:tc>
          <w:tcPr>
            <w:tcW w:w="1705" w:type="dxa"/>
            <w:shd w:val="pct12" w:color="auto" w:fill="auto"/>
          </w:tcPr>
          <w:p w14:paraId="145BE69B" w14:textId="315D2C41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BIOS/UEFI</w:t>
            </w:r>
          </w:p>
        </w:tc>
        <w:tc>
          <w:tcPr>
            <w:tcW w:w="8071" w:type="dxa"/>
            <w:shd w:val="pct12" w:color="auto" w:fill="auto"/>
          </w:tcPr>
          <w:p w14:paraId="34CA392B" w14:textId="24A74123" w:rsidR="00C0416C" w:rsidRPr="005E0C7D" w:rsidRDefault="00C0416C" w:rsidP="00D15FEE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Możliwość odczytania z BIOS informacji o:</w:t>
            </w:r>
          </w:p>
          <w:p w14:paraId="182691C6" w14:textId="06F28692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Wersji BIOS</w:t>
            </w:r>
          </w:p>
          <w:p w14:paraId="6E58FB3B" w14:textId="2197D9EC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Numerze seryjnym komputera</w:t>
            </w:r>
          </w:p>
          <w:p w14:paraId="020385D6" w14:textId="3BC71DF6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Numerze inwentarzowym </w:t>
            </w:r>
          </w:p>
          <w:p w14:paraId="49AD3DCD" w14:textId="77777777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Typie (modelu) procesora, ilości rdzeni.</w:t>
            </w:r>
          </w:p>
          <w:p w14:paraId="1577D191" w14:textId="77777777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Ilości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pamieci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RAM i jej prędkości.</w:t>
            </w:r>
          </w:p>
          <w:p w14:paraId="1463AE45" w14:textId="77777777" w:rsidR="005529A6" w:rsidRPr="005E0C7D" w:rsidRDefault="00C0416C" w:rsidP="003962CB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MAC adresie zintegrowanej karty sieciowej </w:t>
            </w:r>
          </w:p>
          <w:p w14:paraId="5831D3B9" w14:textId="25E319DB" w:rsidR="00C0416C" w:rsidRPr="005E0C7D" w:rsidRDefault="00C0416C" w:rsidP="005529A6">
            <w:pPr>
              <w:pStyle w:val="Akapitzlist"/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BIOS musi zapewniać możliwość zarządzania:</w:t>
            </w:r>
          </w:p>
          <w:p w14:paraId="214269DB" w14:textId="4C0F0C30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Kamerą</w:t>
            </w:r>
          </w:p>
          <w:p w14:paraId="4D87D641" w14:textId="0F113504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Mikrofonem oraz głośnikami</w:t>
            </w:r>
          </w:p>
          <w:p w14:paraId="7BB61F77" w14:textId="24C74B00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Portami USB</w:t>
            </w:r>
          </w:p>
          <w:p w14:paraId="0BFECDB4" w14:textId="7257E65E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Kontrolerem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NVMe</w:t>
            </w:r>
            <w:proofErr w:type="spellEnd"/>
          </w:p>
          <w:p w14:paraId="3CCA6985" w14:textId="06EC59F6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Kartą sieci bezprzewodowej i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bluetooth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(o ile występuje)</w:t>
            </w:r>
          </w:p>
          <w:p w14:paraId="204C82CB" w14:textId="1DB11C07" w:rsidR="00C0416C" w:rsidRPr="005E0C7D" w:rsidRDefault="00C0416C" w:rsidP="000062DB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Podświetleniem klawiatury </w:t>
            </w:r>
          </w:p>
          <w:p w14:paraId="3C66F3AA" w14:textId="0091EBD2" w:rsidR="00C0416C" w:rsidRPr="005E0C7D" w:rsidRDefault="00C0416C" w:rsidP="00EF77E5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</w:tr>
      <w:tr w:rsidR="00C0416C" w:rsidRPr="005E0C7D" w14:paraId="74AB281A" w14:textId="77777777" w:rsidTr="0049244F">
        <w:tc>
          <w:tcPr>
            <w:tcW w:w="1705" w:type="dxa"/>
            <w:shd w:val="pct12" w:color="auto" w:fill="auto"/>
          </w:tcPr>
          <w:p w14:paraId="2CB43E7D" w14:textId="62B39FB1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BIOS/UEFI - bezpieczeństwo</w:t>
            </w:r>
          </w:p>
        </w:tc>
        <w:tc>
          <w:tcPr>
            <w:tcW w:w="8071" w:type="dxa"/>
            <w:shd w:val="pct12" w:color="auto" w:fill="auto"/>
          </w:tcPr>
          <w:p w14:paraId="5268527E" w14:textId="77777777" w:rsidR="00C0416C" w:rsidRPr="005E0C7D" w:rsidRDefault="00C0416C" w:rsidP="00D15FEE">
            <w:p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W celu zapewnienia możliwie najwyższego poziomu bezpieczeństwa danych organizacji, BIOS/UEFI musi umożliwiać:</w:t>
            </w:r>
          </w:p>
          <w:p w14:paraId="11A90BC7" w14:textId="30912C43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Nadanie hasła administratora</w:t>
            </w:r>
          </w:p>
          <w:p w14:paraId="7B861873" w14:textId="4DE6EBCC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Ustawienie hasła dla  zainstalowanego dysku</w:t>
            </w:r>
          </w:p>
          <w:p w14:paraId="69895CB6" w14:textId="4138511E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Ustawienie portów USB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wtrybie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„No BOOT” </w:t>
            </w:r>
          </w:p>
          <w:p w14:paraId="25CA2533" w14:textId="29525652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Zarządzanie funkcją Wake on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Lan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oraz  PXE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Boot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zintegrowanej karty sieciowej (o ile występuje)</w:t>
            </w:r>
          </w:p>
          <w:p w14:paraId="54105EF1" w14:textId="62FD1679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Zarządzanie funkcją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Secure</w:t>
            </w:r>
            <w:proofErr w:type="spellEnd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Boot</w:t>
            </w:r>
            <w:proofErr w:type="spellEnd"/>
          </w:p>
          <w:p w14:paraId="331637C0" w14:textId="368CA9FC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Zarządzanie układem TPM</w:t>
            </w:r>
          </w:p>
          <w:p w14:paraId="724A4933" w14:textId="1BCF4BA3" w:rsidR="00C0416C" w:rsidRPr="005E0C7D" w:rsidRDefault="00C0416C" w:rsidP="003A1800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Zarządzanie czujnikiem otwarcia obudowy (dolnej pokrywy).</w:t>
            </w:r>
          </w:p>
          <w:p w14:paraId="19CE175C" w14:textId="4F213A06" w:rsidR="00C0416C" w:rsidRPr="005E0C7D" w:rsidRDefault="00C0416C" w:rsidP="00D15FEE">
            <w:pPr>
              <w:pStyle w:val="Akapitzlist"/>
              <w:numPr>
                <w:ilvl w:val="0"/>
                <w:numId w:val="22"/>
              </w:numPr>
              <w:tabs>
                <w:tab w:val="num" w:pos="283"/>
              </w:tabs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</w:tr>
      <w:tr w:rsidR="00C0416C" w:rsidRPr="005E0C7D" w14:paraId="405FDBD9" w14:textId="73DBBBEE" w:rsidTr="0049244F">
        <w:tc>
          <w:tcPr>
            <w:tcW w:w="1705" w:type="dxa"/>
            <w:shd w:val="pct12" w:color="auto" w:fill="auto"/>
          </w:tcPr>
          <w:p w14:paraId="639AD162" w14:textId="77777777" w:rsidR="00C0416C" w:rsidRPr="005E0C7D" w:rsidRDefault="00C0416C" w:rsidP="00D15FEE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8071" w:type="dxa"/>
            <w:shd w:val="pct12" w:color="auto" w:fill="auto"/>
          </w:tcPr>
          <w:p w14:paraId="455F7A1D" w14:textId="4B45920B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Certyfikat ISO 9001 dla producenta sprzętu </w:t>
            </w:r>
          </w:p>
          <w:p w14:paraId="7ADC7862" w14:textId="470085F0" w:rsidR="00C0416C" w:rsidRPr="005E0C7D" w:rsidRDefault="00C0416C" w:rsidP="003D27D9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Certyfikat ISO 14001 dla producenta sprzętu </w:t>
            </w:r>
          </w:p>
          <w:p w14:paraId="4D6FCCA4" w14:textId="7A1F2F23" w:rsidR="00C0416C" w:rsidRPr="005E0C7D" w:rsidRDefault="00C0416C" w:rsidP="003D27D9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lastRenderedPageBreak/>
              <w:t xml:space="preserve">Certyfikat ISO 50001 dla producenta sprzętu </w:t>
            </w:r>
          </w:p>
          <w:p w14:paraId="77033D3C" w14:textId="48BBD16B" w:rsidR="00C0416C" w:rsidRPr="005E0C7D" w:rsidRDefault="00C0416C" w:rsidP="003D27D9">
            <w:pPr>
              <w:spacing w:line="276" w:lineRule="auto"/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Deklaracja zgodności CE </w:t>
            </w:r>
          </w:p>
          <w:p w14:paraId="1AEE3B26" w14:textId="685DDC85" w:rsidR="00C0416C" w:rsidRPr="005E0C7D" w:rsidRDefault="00C0416C" w:rsidP="00D15FE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</w:tr>
      <w:tr w:rsidR="00C0416C" w:rsidRPr="005E0C7D" w14:paraId="78877CC4" w14:textId="3099C004" w:rsidTr="0049244F">
        <w:tc>
          <w:tcPr>
            <w:tcW w:w="1705" w:type="dxa"/>
            <w:shd w:val="pct12" w:color="auto" w:fill="auto"/>
          </w:tcPr>
          <w:p w14:paraId="476E8DD3" w14:textId="3C6D2297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lastRenderedPageBreak/>
              <w:t>Oprogramowanie diagnostyczne</w:t>
            </w:r>
          </w:p>
        </w:tc>
        <w:tc>
          <w:tcPr>
            <w:tcW w:w="8071" w:type="dxa"/>
            <w:shd w:val="pct12" w:color="auto" w:fill="auto"/>
          </w:tcPr>
          <w:p w14:paraId="71A9A385" w14:textId="77777777" w:rsidR="00C0416C" w:rsidRPr="005E0C7D" w:rsidRDefault="00C0416C" w:rsidP="00365E8E">
            <w:pPr>
              <w:jc w:val="both"/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 xml:space="preserve">System diagnostyczny z graficznym interfejsem użytkownika, działający poza środowiskiem systemu operacyjnego, dostępny z poziomu BIOS lub szybkiego menu </w:t>
            </w:r>
            <w:proofErr w:type="spellStart"/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>boot’owania</w:t>
            </w:r>
            <w:proofErr w:type="spellEnd"/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 xml:space="preserve">. </w:t>
            </w:r>
          </w:p>
          <w:p w14:paraId="7743A114" w14:textId="73E1D4AC" w:rsidR="00C0416C" w:rsidRPr="005E0C7D" w:rsidRDefault="00C0416C" w:rsidP="005529A6">
            <w:pPr>
              <w:jc w:val="both"/>
              <w:rPr>
                <w:rFonts w:ascii="Calibri" w:hAnsi="Calibri" w:cs="Calibri"/>
                <w:bCs/>
                <w:color w:val="FF0000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>System umożliwiający przetestowanie komponentów bez konieczności uruchamiania systemu operacyjnego. </w:t>
            </w:r>
          </w:p>
        </w:tc>
      </w:tr>
      <w:tr w:rsidR="00C0416C" w:rsidRPr="005E0C7D" w14:paraId="623D7E05" w14:textId="57F507E5" w:rsidTr="0049244F">
        <w:tc>
          <w:tcPr>
            <w:tcW w:w="1705" w:type="dxa"/>
            <w:shd w:val="pct12" w:color="auto" w:fill="auto"/>
          </w:tcPr>
          <w:p w14:paraId="00CA58D4" w14:textId="09D3A0C0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8071" w:type="dxa"/>
            <w:shd w:val="pct12" w:color="auto" w:fill="auto"/>
          </w:tcPr>
          <w:p w14:paraId="3134DC9B" w14:textId="39A8BC14" w:rsidR="00C0416C" w:rsidRPr="005E0C7D" w:rsidRDefault="00C0416C" w:rsidP="002350A7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Dedykowany układ sprzętowy TPM min. 2.0 zgodny z certyfikacją TCG, przechowujący klucze kryptograficzne i certyfikaty.</w:t>
            </w:r>
          </w:p>
          <w:p w14:paraId="72470A23" w14:textId="07DDDB3D" w:rsidR="00C0416C" w:rsidRPr="005E0C7D" w:rsidRDefault="00C0416C" w:rsidP="002350A7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Wbudowany czujnik otwarcia obudowy (dolnej pokrywy).</w:t>
            </w:r>
          </w:p>
          <w:p w14:paraId="31032F62" w14:textId="0479053E" w:rsidR="00C0416C" w:rsidRPr="005E0C7D" w:rsidRDefault="00C0416C" w:rsidP="005529A6">
            <w:pPr>
              <w:jc w:val="both"/>
              <w:rPr>
                <w:rFonts w:ascii="Calibri" w:hAnsi="Calibri" w:cs="Calibri"/>
                <w:b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C0416C" w:rsidRPr="005E0C7D" w14:paraId="079CF40A" w14:textId="4CF51150" w:rsidTr="0049244F">
        <w:tc>
          <w:tcPr>
            <w:tcW w:w="1705" w:type="dxa"/>
            <w:shd w:val="pct12" w:color="auto" w:fill="auto"/>
          </w:tcPr>
          <w:p w14:paraId="39352156" w14:textId="77777777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8071" w:type="dxa"/>
            <w:shd w:val="pct12" w:color="auto" w:fill="auto"/>
          </w:tcPr>
          <w:p w14:paraId="464CB3DD" w14:textId="41A1500D" w:rsidR="00C0416C" w:rsidRPr="005E0C7D" w:rsidRDefault="00C0416C" w:rsidP="002350A7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</w:pPr>
            <w:r w:rsidRPr="005E0C7D">
              <w:rPr>
                <w:rFonts w:ascii="Calibri" w:hAnsi="Calibri" w:cs="Calibri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Zainstalowany system operacyjny </w:t>
            </w:r>
            <w:r w:rsidRPr="005E0C7D">
              <w:rPr>
                <w:rFonts w:ascii="Calibri" w:hAnsi="Calibri" w:cs="Calibri"/>
                <w:sz w:val="20"/>
                <w:szCs w:val="20"/>
                <w:bdr w:val="none" w:sz="0" w:space="0" w:color="auto" w:frame="1"/>
                <w:lang w:val="pl-PL"/>
              </w:rPr>
              <w:t xml:space="preserve">Windows 11 Pro, </w:t>
            </w:r>
            <w:r w:rsidRPr="005E0C7D">
              <w:rPr>
                <w:rFonts w:ascii="Calibri" w:hAnsi="Calibri" w:cs="Calibri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klucz licencyjny zapisany trwale w BIOS, umożliwiać instalację systemu operacyjnego bez potrzeby ręcznego wpisywania klucza licencyjnego.</w:t>
            </w:r>
          </w:p>
        </w:tc>
      </w:tr>
      <w:tr w:rsidR="00C0416C" w:rsidRPr="005E0C7D" w14:paraId="24488F92" w14:textId="77777777" w:rsidTr="0049244F">
        <w:tc>
          <w:tcPr>
            <w:tcW w:w="1705" w:type="dxa"/>
            <w:shd w:val="pct12" w:color="auto" w:fill="auto"/>
          </w:tcPr>
          <w:p w14:paraId="0AD45E2D" w14:textId="75651F2D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Oprogramowanie biurowe</w:t>
            </w:r>
          </w:p>
        </w:tc>
        <w:tc>
          <w:tcPr>
            <w:tcW w:w="8071" w:type="dxa"/>
            <w:shd w:val="pct12" w:color="auto" w:fill="auto"/>
          </w:tcPr>
          <w:p w14:paraId="102D8ACA" w14:textId="3C1BA47B" w:rsidR="00C0416C" w:rsidRPr="005E0C7D" w:rsidRDefault="00C0416C" w:rsidP="002350A7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</w:pPr>
            <w:r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>Microsoft Office 2024 Home and Business</w:t>
            </w:r>
            <w:r w:rsidR="005529A6" w:rsidRPr="005E0C7D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val="pl-PL"/>
              </w:rPr>
              <w:t xml:space="preserve"> lub równoważne</w:t>
            </w:r>
          </w:p>
        </w:tc>
      </w:tr>
      <w:tr w:rsidR="00C0416C" w:rsidRPr="005E0C7D" w14:paraId="2F68FC5B" w14:textId="2D99F373" w:rsidTr="0049244F">
        <w:tc>
          <w:tcPr>
            <w:tcW w:w="1705" w:type="dxa"/>
            <w:shd w:val="pct12" w:color="auto" w:fill="auto"/>
          </w:tcPr>
          <w:p w14:paraId="2B4AD370" w14:textId="77777777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Oprogramowanie dodatkowe</w:t>
            </w:r>
          </w:p>
        </w:tc>
        <w:tc>
          <w:tcPr>
            <w:tcW w:w="8071" w:type="dxa"/>
            <w:shd w:val="pct12" w:color="auto" w:fill="auto"/>
          </w:tcPr>
          <w:p w14:paraId="02D0D938" w14:textId="1B2E987B" w:rsidR="00C0416C" w:rsidRPr="005E0C7D" w:rsidRDefault="00C0416C" w:rsidP="002350A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Cs/>
                <w:color w:val="FF0000"/>
                <w:sz w:val="20"/>
                <w:szCs w:val="20"/>
                <w:lang w:val="pl-PL"/>
              </w:rPr>
              <w:t xml:space="preserve"> 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Dołączon</w:t>
            </w:r>
            <w:r w:rsidR="005529A6" w:rsidRPr="005E0C7D">
              <w:rPr>
                <w:rFonts w:ascii="Calibri" w:hAnsi="Calibri" w:cs="Calibri"/>
                <w:sz w:val="20"/>
                <w:szCs w:val="20"/>
                <w:lang w:val="pl-PL"/>
              </w:rPr>
              <w:t>y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do oferowanego komputera </w:t>
            </w:r>
            <w:r w:rsidR="005529A6"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system operacyjny 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nieograniczoną licencją czasowo na użytkowanie umożliwiające:</w:t>
            </w:r>
          </w:p>
          <w:p w14:paraId="26662056" w14:textId="659C5729" w:rsidR="00C0416C" w:rsidRPr="005E0C7D" w:rsidRDefault="00C0416C" w:rsidP="005529A6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upgrade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i instalacje wszystkich sterowników, dostarczonych w obrazie systemu operacyjnego producenta</w:t>
            </w:r>
          </w:p>
          <w:p w14:paraId="7645CB92" w14:textId="77777777" w:rsidR="00C0416C" w:rsidRPr="005E0C7D" w:rsidRDefault="00C0416C" w:rsidP="00C0416C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Dołączone do oferowanego komputera oprogramowanie z nieograniczoną licencją czasowo na użytkowanie umożliwiające:</w:t>
            </w:r>
          </w:p>
          <w:p w14:paraId="6E9F954D" w14:textId="77777777" w:rsidR="00C0416C" w:rsidRPr="005E0C7D" w:rsidRDefault="00C0416C" w:rsidP="00C0416C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upgrade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i instalacje wszystkich sterowników, dostarczonych w obrazie systemu operacyjnego producenta,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BIOS’u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certyfikatem zgodności producenta do najnowszej dostępnej wersji, </w:t>
            </w:r>
          </w:p>
          <w:p w14:paraId="1FC21254" w14:textId="77777777" w:rsidR="00C0416C" w:rsidRPr="005E0C7D" w:rsidRDefault="00C0416C" w:rsidP="00C0416C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- możliwość przed instalacją sprawdzenia każdego sterownika,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BIOS’u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bezpośrednio na stronie producenta przy użyciu połączenia internetowego.</w:t>
            </w:r>
          </w:p>
          <w:p w14:paraId="5B358E2C" w14:textId="77777777" w:rsidR="00C0416C" w:rsidRPr="005E0C7D" w:rsidRDefault="00C0416C" w:rsidP="00C0416C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W przypadku wystąpienia awarii oprogramowanie automatycznie uruchomi się i zapewni możliwość naprawy systemu operacyjnego lub przywrócenie go do stanu fabrycznego z możliwością dokonania kopii zapasowej plików przed uruchomieniem procesu.</w:t>
            </w:r>
          </w:p>
          <w:p w14:paraId="2AF90CB3" w14:textId="6A939F76" w:rsidR="00C0416C" w:rsidRPr="005E0C7D" w:rsidRDefault="00C0416C" w:rsidP="00C0416C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C0416C" w:rsidRPr="005E0C7D" w14:paraId="62598613" w14:textId="3000E4DD" w:rsidTr="0049244F">
        <w:trPr>
          <w:trHeight w:val="503"/>
        </w:trPr>
        <w:tc>
          <w:tcPr>
            <w:tcW w:w="1705" w:type="dxa"/>
            <w:shd w:val="pct12" w:color="auto" w:fill="auto"/>
          </w:tcPr>
          <w:p w14:paraId="69A5F3EA" w14:textId="77777777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Porty i złącza</w:t>
            </w:r>
          </w:p>
        </w:tc>
        <w:tc>
          <w:tcPr>
            <w:tcW w:w="8071" w:type="dxa"/>
            <w:shd w:val="pct12" w:color="auto" w:fill="auto"/>
          </w:tcPr>
          <w:p w14:paraId="1E8B5571" w14:textId="0805A197" w:rsidR="00C0416C" w:rsidRPr="005E0C7D" w:rsidRDefault="00C0416C" w:rsidP="002350A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Wbudowane porty i złącza: </w:t>
            </w:r>
            <w:r w:rsidRPr="005E0C7D">
              <w:rPr>
                <w:rFonts w:ascii="Calibri" w:hAnsi="Calibri" w:cs="Calibri"/>
                <w:color w:val="FF0000"/>
                <w:sz w:val="20"/>
                <w:szCs w:val="20"/>
                <w:lang w:val="pl-PL"/>
              </w:rPr>
              <w:t xml:space="preserve"> 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1 x HDMI</w:t>
            </w:r>
            <w:r w:rsidRPr="005E0C7D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2 x USB 3.2 typ A, 1 x USB  typ C, </w:t>
            </w:r>
            <w:r w:rsidRPr="005E0C7D">
              <w:rPr>
                <w:rFonts w:ascii="Calibri" w:hAnsi="Calibri" w:cs="Calibri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port audio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combo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, 1 x RJ – 45, gniazdo linki zabezpieczającej.</w:t>
            </w:r>
          </w:p>
        </w:tc>
      </w:tr>
      <w:tr w:rsidR="00C0416C" w:rsidRPr="005E0C7D" w14:paraId="66171DAD" w14:textId="19DDF4AE" w:rsidTr="0049244F">
        <w:trPr>
          <w:trHeight w:val="620"/>
        </w:trPr>
        <w:tc>
          <w:tcPr>
            <w:tcW w:w="1705" w:type="dxa"/>
            <w:shd w:val="pct12" w:color="auto" w:fill="auto"/>
          </w:tcPr>
          <w:p w14:paraId="1F795F52" w14:textId="77777777" w:rsidR="00C0416C" w:rsidRPr="005E0C7D" w:rsidRDefault="00C0416C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Warunki gwarancyjne, wsparcie techniczne</w:t>
            </w:r>
          </w:p>
        </w:tc>
        <w:tc>
          <w:tcPr>
            <w:tcW w:w="8071" w:type="dxa"/>
            <w:shd w:val="pct12" w:color="auto" w:fill="auto"/>
          </w:tcPr>
          <w:p w14:paraId="0E4A8D28" w14:textId="77777777" w:rsidR="00C0416C" w:rsidRPr="005E0C7D" w:rsidRDefault="00C0416C" w:rsidP="002350A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5D15EC21" w14:textId="77777777" w:rsidR="00C0416C" w:rsidRPr="005E0C7D" w:rsidRDefault="00C0416C" w:rsidP="002350A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recovery</w:t>
            </w:r>
            <w:proofErr w:type="spellEnd"/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systemu operacyjnego)</w:t>
            </w:r>
          </w:p>
          <w:p w14:paraId="2D109B76" w14:textId="77777777" w:rsidR="00C0416C" w:rsidRPr="005E0C7D" w:rsidRDefault="00C0416C" w:rsidP="002350A7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3-letnia gwarancja producenta świadczona na miejscu u klienta, Czas reakcji serwisu - do końca następnego dnia roboczego.</w:t>
            </w:r>
          </w:p>
          <w:p w14:paraId="2B4DE356" w14:textId="0C945CA9" w:rsidR="00C0416C" w:rsidRPr="005E0C7D" w:rsidRDefault="00C0416C" w:rsidP="008A68D9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>W przypadku awarii dysków twardych dysk pozostaje u Zamawiającego</w:t>
            </w:r>
            <w:r w:rsidR="008A68D9">
              <w:rPr>
                <w:rFonts w:ascii="Calibri" w:hAnsi="Calibri" w:cs="Calibri"/>
                <w:sz w:val="20"/>
                <w:szCs w:val="20"/>
                <w:lang w:val="pl-PL"/>
              </w:rPr>
              <w:t>.</w:t>
            </w:r>
            <w:r w:rsidRPr="005E0C7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6628CE" w:rsidRPr="005E0C7D" w14:paraId="3B08C594" w14:textId="77777777" w:rsidTr="0049244F">
        <w:trPr>
          <w:trHeight w:val="620"/>
        </w:trPr>
        <w:tc>
          <w:tcPr>
            <w:tcW w:w="1705" w:type="dxa"/>
            <w:shd w:val="pct12" w:color="auto" w:fill="auto"/>
          </w:tcPr>
          <w:p w14:paraId="11036A83" w14:textId="74C7A38E" w:rsidR="006628CE" w:rsidRPr="005E0C7D" w:rsidRDefault="006628CE" w:rsidP="002350A7">
            <w:pPr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</w:pPr>
            <w:r w:rsidRPr="005E0C7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pl-PL"/>
              </w:rPr>
              <w:t>Dodatkowo</w:t>
            </w:r>
          </w:p>
        </w:tc>
        <w:tc>
          <w:tcPr>
            <w:tcW w:w="8071" w:type="dxa"/>
            <w:shd w:val="pct12" w:color="auto" w:fill="auto"/>
          </w:tcPr>
          <w:p w14:paraId="41067C93" w14:textId="44C99E6B" w:rsidR="00301675" w:rsidRPr="005E0C7D" w:rsidRDefault="00301675" w:rsidP="00496990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eastAsia="Calibri" w:hAnsi="Calibri" w:cs="Calibri"/>
                <w:sz w:val="20"/>
                <w:szCs w:val="20"/>
                <w:highlight w:val="lightGray"/>
                <w:lang w:val="pl-PL"/>
              </w:rPr>
              <w:t>Mysz bezprzewodowa optyczna  z dwoma klawiszami oraz rolką (</w:t>
            </w:r>
            <w:proofErr w:type="spellStart"/>
            <w:r w:rsidRPr="005E0C7D">
              <w:rPr>
                <w:rFonts w:ascii="Calibri" w:eastAsia="Calibri" w:hAnsi="Calibri" w:cs="Calibri"/>
                <w:sz w:val="20"/>
                <w:szCs w:val="20"/>
                <w:highlight w:val="lightGray"/>
                <w:lang w:val="pl-PL"/>
              </w:rPr>
              <w:t>scroll</w:t>
            </w:r>
            <w:proofErr w:type="spellEnd"/>
            <w:r w:rsidRPr="005E0C7D">
              <w:rPr>
                <w:rFonts w:ascii="Calibri" w:eastAsia="Calibri" w:hAnsi="Calibri" w:cs="Calibri"/>
                <w:sz w:val="20"/>
                <w:szCs w:val="20"/>
                <w:highlight w:val="lightGray"/>
                <w:lang w:val="pl-PL"/>
              </w:rPr>
              <w:t xml:space="preserve">) w kolorze </w:t>
            </w:r>
            <w:r w:rsidR="009F7483" w:rsidRPr="005E0C7D">
              <w:rPr>
                <w:rFonts w:ascii="Calibri" w:eastAsia="Calibri" w:hAnsi="Calibri" w:cs="Calibri"/>
                <w:sz w:val="20"/>
                <w:szCs w:val="20"/>
                <w:highlight w:val="lightGray"/>
                <w:lang w:val="pl-PL"/>
              </w:rPr>
              <w:t xml:space="preserve">czarnym </w:t>
            </w:r>
            <w:r w:rsidRPr="005E0C7D">
              <w:rPr>
                <w:rFonts w:ascii="Calibri" w:eastAsia="Calibri" w:hAnsi="Calibri" w:cs="Calibri"/>
                <w:sz w:val="20"/>
                <w:szCs w:val="20"/>
                <w:highlight w:val="lightGray"/>
                <w:lang w:val="pl-PL"/>
              </w:rPr>
              <w:t>zasięg minimum 10 m.</w:t>
            </w:r>
          </w:p>
          <w:p w14:paraId="33A62733" w14:textId="73734AE9" w:rsidR="00301675" w:rsidRPr="005E0C7D" w:rsidRDefault="00301675" w:rsidP="008E6ED4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5E0C7D">
              <w:rPr>
                <w:rFonts w:ascii="Calibri" w:eastAsia="Calibri" w:hAnsi="Calibri" w:cs="Calibri"/>
                <w:b/>
                <w:bCs/>
                <w:sz w:val="20"/>
                <w:szCs w:val="20"/>
                <w:lang w:val="pl-PL"/>
              </w:rPr>
              <w:t>Czarna torba</w:t>
            </w:r>
            <w:r w:rsidRPr="005E0C7D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wyposażona w: - oddzielną wzmocnioną komorę na komputer przenośny (zapinaną na suwak), - oddzielną obszerną komorę na dokumenty A4 (zapinaną na suwak). - oddzielną komorę na akcesoria (Płyty CD, myszka, długopisy telefon itp.) (zapinaną na suwak) - pasek na ramię. Dostosowana do rozmiaru oferowanego komputera przenośnego.</w:t>
            </w:r>
          </w:p>
          <w:p w14:paraId="4B19E23B" w14:textId="77777777" w:rsidR="006628CE" w:rsidRPr="005E0C7D" w:rsidRDefault="006628CE" w:rsidP="002350A7">
            <w:pPr>
              <w:jc w:val="both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1FDA61F9" w14:textId="77777777" w:rsidR="007A6E93" w:rsidRPr="005E0C7D" w:rsidRDefault="007A6E93" w:rsidP="00D15FEE">
      <w:pPr>
        <w:rPr>
          <w:rFonts w:ascii="Calibri" w:hAnsi="Calibri" w:cs="Calibri"/>
          <w:sz w:val="20"/>
          <w:szCs w:val="20"/>
          <w:lang w:val="pl-PL"/>
        </w:rPr>
      </w:pPr>
    </w:p>
    <w:sectPr w:rsidR="007A6E93" w:rsidRPr="005E0C7D" w:rsidSect="008A68D9">
      <w:headerReference w:type="even" r:id="rId12"/>
      <w:footerReference w:type="even" r:id="rId13"/>
      <w:footerReference w:type="default" r:id="rId14"/>
      <w:footerReference w:type="first" r:id="rId15"/>
      <w:pgSz w:w="12240" w:h="15840"/>
      <w:pgMar w:top="851" w:right="1440" w:bottom="42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E2100" w14:textId="77777777" w:rsidR="00516BC9" w:rsidRDefault="00516BC9" w:rsidP="00533527">
      <w:pPr>
        <w:spacing w:after="0" w:line="240" w:lineRule="auto"/>
      </w:pPr>
      <w:r>
        <w:separator/>
      </w:r>
    </w:p>
  </w:endnote>
  <w:endnote w:type="continuationSeparator" w:id="0">
    <w:p w14:paraId="5007337D" w14:textId="77777777" w:rsidR="00516BC9" w:rsidRDefault="00516BC9" w:rsidP="0053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7D3DD" w14:textId="77777777" w:rsidR="00C2626E" w:rsidRDefault="00C2626E" w:rsidP="00C2626E">
    <w:pPr>
      <w:pStyle w:val="Stopka"/>
    </w:pPr>
    <w:bookmarkStart w:id="0" w:name="DocumentMarkings1FooterEvenPages"/>
  </w:p>
  <w:bookmarkEnd w:id="0"/>
  <w:p w14:paraId="6CC7746A" w14:textId="77777777" w:rsidR="00C2626E" w:rsidRDefault="00C2626E" w:rsidP="00C2626E">
    <w:pPr>
      <w:pStyle w:val="Stopka"/>
    </w:pPr>
  </w:p>
  <w:p w14:paraId="3AC9EA03" w14:textId="77777777" w:rsidR="00533527" w:rsidRDefault="005335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9C3A6" w14:textId="77777777" w:rsidR="00533527" w:rsidRDefault="00533527" w:rsidP="00C2626E">
    <w:pPr>
      <w:pStyle w:val="Stopka"/>
    </w:pPr>
    <w:bookmarkStart w:id="1" w:name="DocumentMarkings1FooterPrimary"/>
  </w:p>
  <w:bookmarkEnd w:id="1"/>
  <w:p w14:paraId="72338FA4" w14:textId="77777777" w:rsidR="00533527" w:rsidRDefault="005335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FB175" w14:textId="77777777" w:rsidR="00533527" w:rsidRDefault="00533527" w:rsidP="00C2626E">
    <w:pPr>
      <w:pStyle w:val="Stopka"/>
    </w:pPr>
    <w:bookmarkStart w:id="2" w:name="DocumentMarkings1FooterFirstPage"/>
  </w:p>
  <w:bookmarkEnd w:id="2"/>
  <w:p w14:paraId="6077A65A" w14:textId="77777777" w:rsidR="00533527" w:rsidRDefault="00533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1FF9" w14:textId="77777777" w:rsidR="00516BC9" w:rsidRDefault="00516BC9" w:rsidP="00533527">
      <w:pPr>
        <w:spacing w:after="0" w:line="240" w:lineRule="auto"/>
      </w:pPr>
      <w:r>
        <w:separator/>
      </w:r>
    </w:p>
  </w:footnote>
  <w:footnote w:type="continuationSeparator" w:id="0">
    <w:p w14:paraId="092A639B" w14:textId="77777777" w:rsidR="00516BC9" w:rsidRDefault="00516BC9" w:rsidP="00533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0C49" w14:textId="77777777" w:rsidR="00533527" w:rsidRDefault="00533527" w:rsidP="00533527">
    <w:pPr>
      <w:pStyle w:val="Nagwek"/>
    </w:pPr>
  </w:p>
  <w:p w14:paraId="079B0D90" w14:textId="77777777" w:rsidR="00533527" w:rsidRDefault="005335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25A5"/>
    <w:multiLevelType w:val="hybridMultilevel"/>
    <w:tmpl w:val="0B10A516"/>
    <w:lvl w:ilvl="0" w:tplc="26D40A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D5E3D"/>
    <w:multiLevelType w:val="hybridMultilevel"/>
    <w:tmpl w:val="254AE546"/>
    <w:lvl w:ilvl="0" w:tplc="520AA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E2B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AC0E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E65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96AA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F02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3CA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023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65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9A5467"/>
    <w:multiLevelType w:val="hybridMultilevel"/>
    <w:tmpl w:val="68282026"/>
    <w:lvl w:ilvl="0" w:tplc="89261B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52473"/>
    <w:multiLevelType w:val="hybridMultilevel"/>
    <w:tmpl w:val="F72A970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AC16A6"/>
    <w:multiLevelType w:val="hybridMultilevel"/>
    <w:tmpl w:val="1E76F7D8"/>
    <w:lvl w:ilvl="0" w:tplc="D21620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C10E1"/>
    <w:multiLevelType w:val="hybridMultilevel"/>
    <w:tmpl w:val="5344C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9555F"/>
    <w:multiLevelType w:val="hybridMultilevel"/>
    <w:tmpl w:val="121E64D2"/>
    <w:lvl w:ilvl="0" w:tplc="32A8BB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C24E6"/>
    <w:multiLevelType w:val="hybridMultilevel"/>
    <w:tmpl w:val="EA067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039B4"/>
    <w:multiLevelType w:val="hybridMultilevel"/>
    <w:tmpl w:val="B6B0F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723B0"/>
    <w:multiLevelType w:val="hybridMultilevel"/>
    <w:tmpl w:val="4C025B2E"/>
    <w:lvl w:ilvl="0" w:tplc="8EE42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7F4BFE"/>
    <w:multiLevelType w:val="hybridMultilevel"/>
    <w:tmpl w:val="CA0CCA8C"/>
    <w:lvl w:ilvl="0" w:tplc="F54C2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81D58"/>
    <w:multiLevelType w:val="hybridMultilevel"/>
    <w:tmpl w:val="211ECE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331009">
    <w:abstractNumId w:val="0"/>
  </w:num>
  <w:num w:numId="2" w16cid:durableId="1643461907">
    <w:abstractNumId w:val="22"/>
  </w:num>
  <w:num w:numId="3" w16cid:durableId="1683119247">
    <w:abstractNumId w:val="15"/>
  </w:num>
  <w:num w:numId="4" w16cid:durableId="347873559">
    <w:abstractNumId w:val="7"/>
  </w:num>
  <w:num w:numId="5" w16cid:durableId="1330794781">
    <w:abstractNumId w:val="16"/>
  </w:num>
  <w:num w:numId="6" w16cid:durableId="1503080901">
    <w:abstractNumId w:val="13"/>
  </w:num>
  <w:num w:numId="7" w16cid:durableId="730157443">
    <w:abstractNumId w:val="24"/>
  </w:num>
  <w:num w:numId="8" w16cid:durableId="1479148287">
    <w:abstractNumId w:val="23"/>
  </w:num>
  <w:num w:numId="9" w16cid:durableId="1212225183">
    <w:abstractNumId w:val="19"/>
  </w:num>
  <w:num w:numId="10" w16cid:durableId="1089279602">
    <w:abstractNumId w:val="2"/>
  </w:num>
  <w:num w:numId="11" w16cid:durableId="1201892428">
    <w:abstractNumId w:val="18"/>
  </w:num>
  <w:num w:numId="12" w16cid:durableId="1968852889">
    <w:abstractNumId w:val="21"/>
  </w:num>
  <w:num w:numId="13" w16cid:durableId="1137718680">
    <w:abstractNumId w:val="6"/>
  </w:num>
  <w:num w:numId="14" w16cid:durableId="1182088788">
    <w:abstractNumId w:val="1"/>
  </w:num>
  <w:num w:numId="15" w16cid:durableId="904536042">
    <w:abstractNumId w:val="5"/>
  </w:num>
  <w:num w:numId="16" w16cid:durableId="1444298837">
    <w:abstractNumId w:val="3"/>
  </w:num>
  <w:num w:numId="17" w16cid:durableId="2103335716">
    <w:abstractNumId w:val="8"/>
  </w:num>
  <w:num w:numId="18" w16cid:durableId="468939782">
    <w:abstractNumId w:val="4"/>
  </w:num>
  <w:num w:numId="19" w16cid:durableId="1932349725">
    <w:abstractNumId w:val="17"/>
  </w:num>
  <w:num w:numId="20" w16cid:durableId="2058577849">
    <w:abstractNumId w:val="9"/>
  </w:num>
  <w:num w:numId="21" w16cid:durableId="1732338574">
    <w:abstractNumId w:val="20"/>
  </w:num>
  <w:num w:numId="22" w16cid:durableId="1166021463">
    <w:abstractNumId w:val="12"/>
  </w:num>
  <w:num w:numId="23" w16cid:durableId="207761708">
    <w:abstractNumId w:val="10"/>
  </w:num>
  <w:num w:numId="24" w16cid:durableId="535775047">
    <w:abstractNumId w:val="11"/>
  </w:num>
  <w:num w:numId="25" w16cid:durableId="1050958155">
    <w:abstractNumId w:val="12"/>
  </w:num>
  <w:num w:numId="26" w16cid:durableId="6631249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B5C"/>
    <w:rsid w:val="00000629"/>
    <w:rsid w:val="00001740"/>
    <w:rsid w:val="00005536"/>
    <w:rsid w:val="000062DB"/>
    <w:rsid w:val="000123A9"/>
    <w:rsid w:val="00015B1A"/>
    <w:rsid w:val="00017FE0"/>
    <w:rsid w:val="000214C0"/>
    <w:rsid w:val="000251D1"/>
    <w:rsid w:val="000258E5"/>
    <w:rsid w:val="00026469"/>
    <w:rsid w:val="00033DB3"/>
    <w:rsid w:val="00040235"/>
    <w:rsid w:val="000414B3"/>
    <w:rsid w:val="0005049D"/>
    <w:rsid w:val="00066384"/>
    <w:rsid w:val="0007344E"/>
    <w:rsid w:val="00077D93"/>
    <w:rsid w:val="00080083"/>
    <w:rsid w:val="0008215E"/>
    <w:rsid w:val="00086852"/>
    <w:rsid w:val="00087463"/>
    <w:rsid w:val="00091359"/>
    <w:rsid w:val="00095E0C"/>
    <w:rsid w:val="0009787E"/>
    <w:rsid w:val="000A2918"/>
    <w:rsid w:val="000A448D"/>
    <w:rsid w:val="000B13FC"/>
    <w:rsid w:val="000B66FC"/>
    <w:rsid w:val="000C5500"/>
    <w:rsid w:val="000C58B6"/>
    <w:rsid w:val="000C636E"/>
    <w:rsid w:val="000C7AA7"/>
    <w:rsid w:val="000D7083"/>
    <w:rsid w:val="000E316B"/>
    <w:rsid w:val="000F0378"/>
    <w:rsid w:val="00102588"/>
    <w:rsid w:val="0010357B"/>
    <w:rsid w:val="00106436"/>
    <w:rsid w:val="00112759"/>
    <w:rsid w:val="00117832"/>
    <w:rsid w:val="0013054B"/>
    <w:rsid w:val="00130C17"/>
    <w:rsid w:val="00132F79"/>
    <w:rsid w:val="00140B44"/>
    <w:rsid w:val="00142634"/>
    <w:rsid w:val="0014269F"/>
    <w:rsid w:val="00142F7D"/>
    <w:rsid w:val="00142F99"/>
    <w:rsid w:val="00144F28"/>
    <w:rsid w:val="00151DD1"/>
    <w:rsid w:val="00161AB9"/>
    <w:rsid w:val="00165F9B"/>
    <w:rsid w:val="00177051"/>
    <w:rsid w:val="00177BE2"/>
    <w:rsid w:val="00185ABA"/>
    <w:rsid w:val="00192664"/>
    <w:rsid w:val="00193A5E"/>
    <w:rsid w:val="001970A7"/>
    <w:rsid w:val="001B19C5"/>
    <w:rsid w:val="001B2FE0"/>
    <w:rsid w:val="001D2913"/>
    <w:rsid w:val="001F1632"/>
    <w:rsid w:val="001F18DE"/>
    <w:rsid w:val="001F4197"/>
    <w:rsid w:val="002064B8"/>
    <w:rsid w:val="0021404B"/>
    <w:rsid w:val="00214DA0"/>
    <w:rsid w:val="00222EBE"/>
    <w:rsid w:val="00231E98"/>
    <w:rsid w:val="0023355D"/>
    <w:rsid w:val="002350A7"/>
    <w:rsid w:val="002457AB"/>
    <w:rsid w:val="002473E7"/>
    <w:rsid w:val="00247BA6"/>
    <w:rsid w:val="0025290F"/>
    <w:rsid w:val="00260F6E"/>
    <w:rsid w:val="00262F2A"/>
    <w:rsid w:val="00263A7B"/>
    <w:rsid w:val="002671C9"/>
    <w:rsid w:val="00270E58"/>
    <w:rsid w:val="00281CA5"/>
    <w:rsid w:val="00291AF0"/>
    <w:rsid w:val="00294056"/>
    <w:rsid w:val="00297321"/>
    <w:rsid w:val="002A2634"/>
    <w:rsid w:val="002A3913"/>
    <w:rsid w:val="002A5F5C"/>
    <w:rsid w:val="002A668D"/>
    <w:rsid w:val="002B1AA1"/>
    <w:rsid w:val="002B604D"/>
    <w:rsid w:val="002B6A87"/>
    <w:rsid w:val="002B71E7"/>
    <w:rsid w:val="002B7F4A"/>
    <w:rsid w:val="002C0BC3"/>
    <w:rsid w:val="002D51FD"/>
    <w:rsid w:val="002D5ED8"/>
    <w:rsid w:val="00301675"/>
    <w:rsid w:val="0031117C"/>
    <w:rsid w:val="003211F5"/>
    <w:rsid w:val="00321D6D"/>
    <w:rsid w:val="00327413"/>
    <w:rsid w:val="00333589"/>
    <w:rsid w:val="0033500E"/>
    <w:rsid w:val="00335E50"/>
    <w:rsid w:val="00341F6C"/>
    <w:rsid w:val="00342EC9"/>
    <w:rsid w:val="003618E7"/>
    <w:rsid w:val="00365E8E"/>
    <w:rsid w:val="00373E89"/>
    <w:rsid w:val="00374C8A"/>
    <w:rsid w:val="00374D17"/>
    <w:rsid w:val="00375B57"/>
    <w:rsid w:val="003771AF"/>
    <w:rsid w:val="00377EC6"/>
    <w:rsid w:val="00386649"/>
    <w:rsid w:val="0038696A"/>
    <w:rsid w:val="00387172"/>
    <w:rsid w:val="00392402"/>
    <w:rsid w:val="00393104"/>
    <w:rsid w:val="00395131"/>
    <w:rsid w:val="003A1800"/>
    <w:rsid w:val="003C5D91"/>
    <w:rsid w:val="003C6560"/>
    <w:rsid w:val="003C68A4"/>
    <w:rsid w:val="003D27D9"/>
    <w:rsid w:val="003E4850"/>
    <w:rsid w:val="003E791F"/>
    <w:rsid w:val="003F4B5C"/>
    <w:rsid w:val="003F5D27"/>
    <w:rsid w:val="003F7BB9"/>
    <w:rsid w:val="00403E0E"/>
    <w:rsid w:val="0040650F"/>
    <w:rsid w:val="00406837"/>
    <w:rsid w:val="00421874"/>
    <w:rsid w:val="00422CF1"/>
    <w:rsid w:val="004329F9"/>
    <w:rsid w:val="004343BC"/>
    <w:rsid w:val="00434999"/>
    <w:rsid w:val="00436808"/>
    <w:rsid w:val="00440697"/>
    <w:rsid w:val="004411D6"/>
    <w:rsid w:val="00441687"/>
    <w:rsid w:val="00450266"/>
    <w:rsid w:val="0045310F"/>
    <w:rsid w:val="00454FB2"/>
    <w:rsid w:val="0046171C"/>
    <w:rsid w:val="00465727"/>
    <w:rsid w:val="00465737"/>
    <w:rsid w:val="00466001"/>
    <w:rsid w:val="00471363"/>
    <w:rsid w:val="00474571"/>
    <w:rsid w:val="00476880"/>
    <w:rsid w:val="00482C78"/>
    <w:rsid w:val="0048536A"/>
    <w:rsid w:val="004867A3"/>
    <w:rsid w:val="00491A56"/>
    <w:rsid w:val="0049244F"/>
    <w:rsid w:val="004B0DB2"/>
    <w:rsid w:val="004B1FCA"/>
    <w:rsid w:val="004B60B5"/>
    <w:rsid w:val="004B6288"/>
    <w:rsid w:val="004C010A"/>
    <w:rsid w:val="004C1771"/>
    <w:rsid w:val="004C2154"/>
    <w:rsid w:val="004C3278"/>
    <w:rsid w:val="004D1A06"/>
    <w:rsid w:val="004D21F2"/>
    <w:rsid w:val="004D5512"/>
    <w:rsid w:val="004D5D23"/>
    <w:rsid w:val="004D6D8C"/>
    <w:rsid w:val="004D76C2"/>
    <w:rsid w:val="004E1375"/>
    <w:rsid w:val="004E4E64"/>
    <w:rsid w:val="004E65F1"/>
    <w:rsid w:val="004F6AD3"/>
    <w:rsid w:val="004F777A"/>
    <w:rsid w:val="00501B97"/>
    <w:rsid w:val="0051463B"/>
    <w:rsid w:val="00516BC9"/>
    <w:rsid w:val="005256A2"/>
    <w:rsid w:val="00526905"/>
    <w:rsid w:val="00530A0D"/>
    <w:rsid w:val="00533527"/>
    <w:rsid w:val="0053386B"/>
    <w:rsid w:val="005358DD"/>
    <w:rsid w:val="005376B5"/>
    <w:rsid w:val="00540EBE"/>
    <w:rsid w:val="00544C7A"/>
    <w:rsid w:val="005464BF"/>
    <w:rsid w:val="005529A6"/>
    <w:rsid w:val="0055761C"/>
    <w:rsid w:val="005576C5"/>
    <w:rsid w:val="005627BB"/>
    <w:rsid w:val="005634DE"/>
    <w:rsid w:val="00574C15"/>
    <w:rsid w:val="0057691E"/>
    <w:rsid w:val="005809DF"/>
    <w:rsid w:val="005A3B0E"/>
    <w:rsid w:val="005B7801"/>
    <w:rsid w:val="005C3091"/>
    <w:rsid w:val="005D4006"/>
    <w:rsid w:val="005E0C7D"/>
    <w:rsid w:val="005E4339"/>
    <w:rsid w:val="005E4EF0"/>
    <w:rsid w:val="005F02A3"/>
    <w:rsid w:val="005F51D8"/>
    <w:rsid w:val="005F66A0"/>
    <w:rsid w:val="00602A8D"/>
    <w:rsid w:val="0062138A"/>
    <w:rsid w:val="0062367D"/>
    <w:rsid w:val="00624F48"/>
    <w:rsid w:val="00630F07"/>
    <w:rsid w:val="00635F71"/>
    <w:rsid w:val="00645B4B"/>
    <w:rsid w:val="006628CE"/>
    <w:rsid w:val="00664F55"/>
    <w:rsid w:val="00672AA8"/>
    <w:rsid w:val="006916CE"/>
    <w:rsid w:val="006A6C59"/>
    <w:rsid w:val="006B2D58"/>
    <w:rsid w:val="006C3885"/>
    <w:rsid w:val="006C6347"/>
    <w:rsid w:val="006D4E2F"/>
    <w:rsid w:val="006D54FF"/>
    <w:rsid w:val="006D74DC"/>
    <w:rsid w:val="006E7B6F"/>
    <w:rsid w:val="006F1603"/>
    <w:rsid w:val="006F31B1"/>
    <w:rsid w:val="006F3C82"/>
    <w:rsid w:val="006F7F4B"/>
    <w:rsid w:val="00700DD3"/>
    <w:rsid w:val="00701237"/>
    <w:rsid w:val="0070785B"/>
    <w:rsid w:val="007107A3"/>
    <w:rsid w:val="00711D82"/>
    <w:rsid w:val="007124D7"/>
    <w:rsid w:val="007240D9"/>
    <w:rsid w:val="007254AE"/>
    <w:rsid w:val="00727E45"/>
    <w:rsid w:val="00730914"/>
    <w:rsid w:val="00734B4F"/>
    <w:rsid w:val="007419A0"/>
    <w:rsid w:val="00751107"/>
    <w:rsid w:val="00752AB1"/>
    <w:rsid w:val="00753561"/>
    <w:rsid w:val="00754B14"/>
    <w:rsid w:val="00760767"/>
    <w:rsid w:val="00765B86"/>
    <w:rsid w:val="00771F83"/>
    <w:rsid w:val="00772B8E"/>
    <w:rsid w:val="0077408F"/>
    <w:rsid w:val="0078104A"/>
    <w:rsid w:val="007829B9"/>
    <w:rsid w:val="007868BE"/>
    <w:rsid w:val="00790243"/>
    <w:rsid w:val="00790CE7"/>
    <w:rsid w:val="007A2A18"/>
    <w:rsid w:val="007A6E93"/>
    <w:rsid w:val="007B104E"/>
    <w:rsid w:val="007B66E0"/>
    <w:rsid w:val="007B765F"/>
    <w:rsid w:val="007C0343"/>
    <w:rsid w:val="007C0C61"/>
    <w:rsid w:val="007C4C61"/>
    <w:rsid w:val="007C60FA"/>
    <w:rsid w:val="007D1A8A"/>
    <w:rsid w:val="007D3DD9"/>
    <w:rsid w:val="007D5A1C"/>
    <w:rsid w:val="00803A59"/>
    <w:rsid w:val="00803F06"/>
    <w:rsid w:val="00811F54"/>
    <w:rsid w:val="00813DC0"/>
    <w:rsid w:val="00817C16"/>
    <w:rsid w:val="00820242"/>
    <w:rsid w:val="00823422"/>
    <w:rsid w:val="00825FAD"/>
    <w:rsid w:val="00830D06"/>
    <w:rsid w:val="00831906"/>
    <w:rsid w:val="00846C24"/>
    <w:rsid w:val="0085211B"/>
    <w:rsid w:val="00853C67"/>
    <w:rsid w:val="00861ED3"/>
    <w:rsid w:val="008665BB"/>
    <w:rsid w:val="0087293B"/>
    <w:rsid w:val="0087334B"/>
    <w:rsid w:val="008768F4"/>
    <w:rsid w:val="008A186A"/>
    <w:rsid w:val="008A2CD3"/>
    <w:rsid w:val="008A58A5"/>
    <w:rsid w:val="008A68D9"/>
    <w:rsid w:val="008B04F9"/>
    <w:rsid w:val="008B07E7"/>
    <w:rsid w:val="008B085E"/>
    <w:rsid w:val="008B6E30"/>
    <w:rsid w:val="008C1DD9"/>
    <w:rsid w:val="008C299F"/>
    <w:rsid w:val="008C62D8"/>
    <w:rsid w:val="008C7807"/>
    <w:rsid w:val="008D1D3A"/>
    <w:rsid w:val="008D2277"/>
    <w:rsid w:val="008D37B8"/>
    <w:rsid w:val="008E224C"/>
    <w:rsid w:val="008E6ED4"/>
    <w:rsid w:val="008F6BC8"/>
    <w:rsid w:val="00914351"/>
    <w:rsid w:val="009145B0"/>
    <w:rsid w:val="00920F3A"/>
    <w:rsid w:val="00931F4C"/>
    <w:rsid w:val="0093776C"/>
    <w:rsid w:val="009406B7"/>
    <w:rsid w:val="00944F83"/>
    <w:rsid w:val="00952A14"/>
    <w:rsid w:val="009545C6"/>
    <w:rsid w:val="009613C3"/>
    <w:rsid w:val="00961690"/>
    <w:rsid w:val="00962941"/>
    <w:rsid w:val="00964F33"/>
    <w:rsid w:val="00981524"/>
    <w:rsid w:val="009833CE"/>
    <w:rsid w:val="00992AC4"/>
    <w:rsid w:val="009A4931"/>
    <w:rsid w:val="009B3B4C"/>
    <w:rsid w:val="009B6CE7"/>
    <w:rsid w:val="009C0006"/>
    <w:rsid w:val="009E177E"/>
    <w:rsid w:val="009E425A"/>
    <w:rsid w:val="009E689F"/>
    <w:rsid w:val="009E7ADE"/>
    <w:rsid w:val="009F32FF"/>
    <w:rsid w:val="009F37C8"/>
    <w:rsid w:val="009F3FD8"/>
    <w:rsid w:val="009F6C0A"/>
    <w:rsid w:val="009F7483"/>
    <w:rsid w:val="009F7651"/>
    <w:rsid w:val="009F7659"/>
    <w:rsid w:val="00A05265"/>
    <w:rsid w:val="00A15126"/>
    <w:rsid w:val="00A24D8C"/>
    <w:rsid w:val="00A358A8"/>
    <w:rsid w:val="00A4262A"/>
    <w:rsid w:val="00A4499D"/>
    <w:rsid w:val="00A5211B"/>
    <w:rsid w:val="00A53092"/>
    <w:rsid w:val="00A55B53"/>
    <w:rsid w:val="00A576C4"/>
    <w:rsid w:val="00A64BE6"/>
    <w:rsid w:val="00A66336"/>
    <w:rsid w:val="00A679BB"/>
    <w:rsid w:val="00A76A95"/>
    <w:rsid w:val="00A8361B"/>
    <w:rsid w:val="00A8479D"/>
    <w:rsid w:val="00A8496A"/>
    <w:rsid w:val="00A85F79"/>
    <w:rsid w:val="00A8627D"/>
    <w:rsid w:val="00A94877"/>
    <w:rsid w:val="00AB484E"/>
    <w:rsid w:val="00AB5ED4"/>
    <w:rsid w:val="00AC5BA6"/>
    <w:rsid w:val="00AC78FF"/>
    <w:rsid w:val="00AD7AD8"/>
    <w:rsid w:val="00AF0D2F"/>
    <w:rsid w:val="00AF5611"/>
    <w:rsid w:val="00B0561B"/>
    <w:rsid w:val="00B06438"/>
    <w:rsid w:val="00B12B09"/>
    <w:rsid w:val="00B152FA"/>
    <w:rsid w:val="00B32903"/>
    <w:rsid w:val="00B430FD"/>
    <w:rsid w:val="00B508C5"/>
    <w:rsid w:val="00B54776"/>
    <w:rsid w:val="00B5591D"/>
    <w:rsid w:val="00B701F8"/>
    <w:rsid w:val="00B741F8"/>
    <w:rsid w:val="00B74898"/>
    <w:rsid w:val="00B777CD"/>
    <w:rsid w:val="00B803C5"/>
    <w:rsid w:val="00B80E75"/>
    <w:rsid w:val="00B9188E"/>
    <w:rsid w:val="00B92CF1"/>
    <w:rsid w:val="00B94795"/>
    <w:rsid w:val="00B96AB6"/>
    <w:rsid w:val="00B97D8F"/>
    <w:rsid w:val="00BA3E05"/>
    <w:rsid w:val="00BA7ACE"/>
    <w:rsid w:val="00BB51CA"/>
    <w:rsid w:val="00BB783D"/>
    <w:rsid w:val="00BC1A79"/>
    <w:rsid w:val="00BC1DFF"/>
    <w:rsid w:val="00BC4E20"/>
    <w:rsid w:val="00BD1666"/>
    <w:rsid w:val="00BD3E6E"/>
    <w:rsid w:val="00BF32A2"/>
    <w:rsid w:val="00C0416C"/>
    <w:rsid w:val="00C14937"/>
    <w:rsid w:val="00C2626E"/>
    <w:rsid w:val="00C307B3"/>
    <w:rsid w:val="00C34DA1"/>
    <w:rsid w:val="00C40D3E"/>
    <w:rsid w:val="00C60818"/>
    <w:rsid w:val="00C60FBC"/>
    <w:rsid w:val="00C6386F"/>
    <w:rsid w:val="00C638C7"/>
    <w:rsid w:val="00C72144"/>
    <w:rsid w:val="00C72E2F"/>
    <w:rsid w:val="00C76A9A"/>
    <w:rsid w:val="00C802CE"/>
    <w:rsid w:val="00C901BE"/>
    <w:rsid w:val="00C92320"/>
    <w:rsid w:val="00CA0FA3"/>
    <w:rsid w:val="00CA2CB0"/>
    <w:rsid w:val="00CA438C"/>
    <w:rsid w:val="00CA7144"/>
    <w:rsid w:val="00CB4559"/>
    <w:rsid w:val="00CB7E91"/>
    <w:rsid w:val="00CC6620"/>
    <w:rsid w:val="00CD516E"/>
    <w:rsid w:val="00CD6146"/>
    <w:rsid w:val="00CE0D6B"/>
    <w:rsid w:val="00CE1FDC"/>
    <w:rsid w:val="00CE79F2"/>
    <w:rsid w:val="00CF0A17"/>
    <w:rsid w:val="00CF34EB"/>
    <w:rsid w:val="00CF5628"/>
    <w:rsid w:val="00CF573C"/>
    <w:rsid w:val="00CF7AAE"/>
    <w:rsid w:val="00D007C5"/>
    <w:rsid w:val="00D02258"/>
    <w:rsid w:val="00D12A64"/>
    <w:rsid w:val="00D15C8B"/>
    <w:rsid w:val="00D15FEE"/>
    <w:rsid w:val="00D17078"/>
    <w:rsid w:val="00D26C9A"/>
    <w:rsid w:val="00D332CB"/>
    <w:rsid w:val="00D41EE4"/>
    <w:rsid w:val="00D4596E"/>
    <w:rsid w:val="00D52C4C"/>
    <w:rsid w:val="00D5389A"/>
    <w:rsid w:val="00D55EE7"/>
    <w:rsid w:val="00D57D6B"/>
    <w:rsid w:val="00D6512A"/>
    <w:rsid w:val="00D67154"/>
    <w:rsid w:val="00D80D75"/>
    <w:rsid w:val="00D929AC"/>
    <w:rsid w:val="00DA4799"/>
    <w:rsid w:val="00DB6C61"/>
    <w:rsid w:val="00DD11D0"/>
    <w:rsid w:val="00DD3BC4"/>
    <w:rsid w:val="00DD3DBF"/>
    <w:rsid w:val="00DD74B9"/>
    <w:rsid w:val="00DE0FA0"/>
    <w:rsid w:val="00DE4039"/>
    <w:rsid w:val="00DE4C87"/>
    <w:rsid w:val="00DE55E8"/>
    <w:rsid w:val="00DF0E36"/>
    <w:rsid w:val="00DF4912"/>
    <w:rsid w:val="00DF56D3"/>
    <w:rsid w:val="00DF6922"/>
    <w:rsid w:val="00E0012E"/>
    <w:rsid w:val="00E00648"/>
    <w:rsid w:val="00E03948"/>
    <w:rsid w:val="00E11A35"/>
    <w:rsid w:val="00E12CBF"/>
    <w:rsid w:val="00E13070"/>
    <w:rsid w:val="00E154EC"/>
    <w:rsid w:val="00E205BB"/>
    <w:rsid w:val="00E31A56"/>
    <w:rsid w:val="00E334C2"/>
    <w:rsid w:val="00E3680A"/>
    <w:rsid w:val="00E41B66"/>
    <w:rsid w:val="00E44139"/>
    <w:rsid w:val="00E51DC5"/>
    <w:rsid w:val="00E57DB7"/>
    <w:rsid w:val="00E602EC"/>
    <w:rsid w:val="00E66E43"/>
    <w:rsid w:val="00E70104"/>
    <w:rsid w:val="00E7523D"/>
    <w:rsid w:val="00E80BAB"/>
    <w:rsid w:val="00E85F10"/>
    <w:rsid w:val="00E90195"/>
    <w:rsid w:val="00E92677"/>
    <w:rsid w:val="00E94DFD"/>
    <w:rsid w:val="00E976A0"/>
    <w:rsid w:val="00E97E38"/>
    <w:rsid w:val="00EA045A"/>
    <w:rsid w:val="00EA2984"/>
    <w:rsid w:val="00EA4C37"/>
    <w:rsid w:val="00EB362C"/>
    <w:rsid w:val="00EC216B"/>
    <w:rsid w:val="00EC454D"/>
    <w:rsid w:val="00EC6BA7"/>
    <w:rsid w:val="00ED04E2"/>
    <w:rsid w:val="00ED2264"/>
    <w:rsid w:val="00ED4166"/>
    <w:rsid w:val="00EE0C98"/>
    <w:rsid w:val="00EE43E8"/>
    <w:rsid w:val="00EE4D94"/>
    <w:rsid w:val="00EE7AC1"/>
    <w:rsid w:val="00EF6326"/>
    <w:rsid w:val="00EF77E5"/>
    <w:rsid w:val="00F043BF"/>
    <w:rsid w:val="00F05BEC"/>
    <w:rsid w:val="00F1000E"/>
    <w:rsid w:val="00F1021F"/>
    <w:rsid w:val="00F10F23"/>
    <w:rsid w:val="00F16B12"/>
    <w:rsid w:val="00F23884"/>
    <w:rsid w:val="00F2452A"/>
    <w:rsid w:val="00F26656"/>
    <w:rsid w:val="00F361DD"/>
    <w:rsid w:val="00F405E7"/>
    <w:rsid w:val="00F51625"/>
    <w:rsid w:val="00F530E5"/>
    <w:rsid w:val="00F540CE"/>
    <w:rsid w:val="00F5431C"/>
    <w:rsid w:val="00F5449F"/>
    <w:rsid w:val="00F571BD"/>
    <w:rsid w:val="00F572CD"/>
    <w:rsid w:val="00F6695C"/>
    <w:rsid w:val="00F70304"/>
    <w:rsid w:val="00F77149"/>
    <w:rsid w:val="00F775A4"/>
    <w:rsid w:val="00F77716"/>
    <w:rsid w:val="00F809B3"/>
    <w:rsid w:val="00F87009"/>
    <w:rsid w:val="00F87188"/>
    <w:rsid w:val="00F920CA"/>
    <w:rsid w:val="00F94632"/>
    <w:rsid w:val="00F94F4E"/>
    <w:rsid w:val="00FA17F7"/>
    <w:rsid w:val="00FA1AA1"/>
    <w:rsid w:val="00FA27A7"/>
    <w:rsid w:val="00FB402B"/>
    <w:rsid w:val="00FE2B0F"/>
    <w:rsid w:val="00FE3FEA"/>
    <w:rsid w:val="00FE74BB"/>
    <w:rsid w:val="00FF7D3B"/>
    <w:rsid w:val="1A80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1E943"/>
  <w15:docId w15:val="{DB6A5ECA-6B91-42AA-A166-610ECB90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1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D5A1C"/>
    <w:rPr>
      <w:color w:val="0000FF" w:themeColor="hyperlink"/>
      <w:u w:val="single"/>
    </w:rPr>
  </w:style>
  <w:style w:type="paragraph" w:styleId="Akapitzlist">
    <w:name w:val="List Paragraph"/>
    <w:aliases w:val="Podsis rysunku,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EC6B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1307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1A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527"/>
  </w:style>
  <w:style w:type="paragraph" w:styleId="Stopka">
    <w:name w:val="footer"/>
    <w:basedOn w:val="Normalny"/>
    <w:link w:val="Stopka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527"/>
  </w:style>
  <w:style w:type="paragraph" w:styleId="NormalnyWeb">
    <w:name w:val="Normal (Web)"/>
    <w:basedOn w:val="Normalny"/>
    <w:uiPriority w:val="99"/>
    <w:semiHidden/>
    <w:unhideWhenUsed/>
    <w:rsid w:val="00A3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4C6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9244F"/>
    <w:rPr>
      <w:color w:val="800080" w:themeColor="followedHyperlink"/>
      <w:u w:val="single"/>
    </w:rPr>
  </w:style>
  <w:style w:type="character" w:customStyle="1" w:styleId="AkapitzlistZnak">
    <w:name w:val="Akapit z listą Znak"/>
    <w:aliases w:val="Podsis rysunku Znak,L1 Znak,Numerowanie Znak,Akapit z listą siwz Znak,Wypunktowanie Znak,sw tekst Znak,Bullet List Znak,FooterText Znak,numbered Znak,Paragraphe de liste1 Znak,lp1 Znak,Preambuła Znak,CP-UC Znak,CP-Punkty Znak,b1 Znak"/>
    <w:link w:val="Akapitzlist"/>
    <w:uiPriority w:val="34"/>
    <w:qFormat/>
    <w:locked/>
    <w:rsid w:val="00301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5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8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8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7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0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6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2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1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2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2AEB58F2427349BEF086BB9F2DA4E7" ma:contentTypeVersion="8" ma:contentTypeDescription="Create a new document." ma:contentTypeScope="" ma:versionID="4646013bfb22b24feaf62cd7e24a385a">
  <xsd:schema xmlns:xsd="http://www.w3.org/2001/XMLSchema" xmlns:xs="http://www.w3.org/2001/XMLSchema" xmlns:p="http://schemas.microsoft.com/office/2006/metadata/properties" xmlns:ns2="9a48991a-d174-4897-9d2b-74e450e72780" targetNamespace="http://schemas.microsoft.com/office/2006/metadata/properties" ma:root="true" ma:fieldsID="e23312013825639effd7e6c5325e2ff5" ns2:_="">
    <xsd:import namespace="9a48991a-d174-4897-9d2b-74e450e72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8991a-d174-4897-9d2b-74e450e72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EDF0D-FDBD-4C91-9A73-5DF8EE5A0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8991a-d174-4897-9d2b-74e450e72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A99C61-A0C6-4E23-A24B-0F589E0FDC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8CF074-AF21-4E9C-8F6D-AF7DDDF499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92AB3C-23F0-4591-83EC-9C67EA2973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Anna Szydło</cp:lastModifiedBy>
  <cp:revision>3</cp:revision>
  <dcterms:created xsi:type="dcterms:W3CDTF">2026-01-21T12:05:00Z</dcterms:created>
  <dcterms:modified xsi:type="dcterms:W3CDTF">2026-01-21T12:07:00Z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8c7f20d8-ac03-44dc-b32a-ecf9737a12a2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DellClassification">
    <vt:lpwstr>No Restrictions</vt:lpwstr>
  </property>
  <property fmtid="{D5CDD505-2E9C-101B-9397-08002B2CF9AE}" pid="6" name="DellSublabels">
    <vt:lpwstr/>
  </property>
  <property fmtid="{D5CDD505-2E9C-101B-9397-08002B2CF9AE}" pid="7" name="Classification">
    <vt:lpwstr>No Restrictions</vt:lpwstr>
  </property>
  <property fmtid="{D5CDD505-2E9C-101B-9397-08002B2CF9AE}" pid="8" name="Sublabels">
    <vt:lpwstr/>
  </property>
  <property fmtid="{D5CDD505-2E9C-101B-9397-08002B2CF9AE}" pid="9" name="MSIP_Label_17cb76b2-10b8-4fe1-93d4-2202842406cd_Enabled">
    <vt:lpwstr>True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MSIP_Label_17cb76b2-10b8-4fe1-93d4-2202842406cd_Ref">
    <vt:lpwstr>https://api.informationprotection.azure.com/api/945c199a-83a2-4e80-9f8c-5a91be5752dd</vt:lpwstr>
  </property>
  <property fmtid="{D5CDD505-2E9C-101B-9397-08002B2CF9AE}" pid="12" name="MSIP_Label_17cb76b2-10b8-4fe1-93d4-2202842406cd_Owner">
    <vt:lpwstr>Kazimierz_Szczepanik@Dell.com</vt:lpwstr>
  </property>
  <property fmtid="{D5CDD505-2E9C-101B-9397-08002B2CF9AE}" pid="13" name="MSIP_Label_17cb76b2-10b8-4fe1-93d4-2202842406cd_SetDate">
    <vt:lpwstr>2018-01-12T13:50:25.4661708+01:00</vt:lpwstr>
  </property>
  <property fmtid="{D5CDD505-2E9C-101B-9397-08002B2CF9AE}" pid="14" name="MSIP_Label_17cb76b2-10b8-4fe1-93d4-2202842406cd_Name">
    <vt:lpwstr>External Public</vt:lpwstr>
  </property>
  <property fmtid="{D5CDD505-2E9C-101B-9397-08002B2CF9AE}" pid="15" name="MSIP_Label_17cb76b2-10b8-4fe1-93d4-2202842406cd_Application">
    <vt:lpwstr>Microsoft Azure Information Protection</vt:lpwstr>
  </property>
  <property fmtid="{D5CDD505-2E9C-101B-9397-08002B2CF9AE}" pid="16" name="MSIP_Label_17cb76b2-10b8-4fe1-93d4-2202842406cd_Extended_MSFT_Method">
    <vt:lpwstr>Manual</vt:lpwstr>
  </property>
  <property fmtid="{D5CDD505-2E9C-101B-9397-08002B2CF9AE}" pid="17" name="Sensitivity">
    <vt:lpwstr>External Public</vt:lpwstr>
  </property>
  <property fmtid="{D5CDD505-2E9C-101B-9397-08002B2CF9AE}" pid="18" name="ContentTypeId">
    <vt:lpwstr>0x010100C62AEB58F2427349BEF086BB9F2DA4E7</vt:lpwstr>
  </property>
  <property fmtid="{D5CDD505-2E9C-101B-9397-08002B2CF9AE}" pid="19" name="Order">
    <vt:r8>80500</vt:r8>
  </property>
</Properties>
</file>